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29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Наджафов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Махире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Акбер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194-</w:t>
      </w:r>
      <w:r>
        <w:rPr>
          <w:rFonts w:ascii="Times New Roman" w:eastAsia="Times New Roman" w:hAnsi="Times New Roman" w:cs="Times New Roman"/>
          <w:sz w:val="28"/>
          <w:szCs w:val="28"/>
        </w:rPr>
        <w:t>199 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к </w:t>
      </w:r>
      <w:r>
        <w:rPr>
          <w:rFonts w:ascii="Times New Roman" w:eastAsia="Times New Roman" w:hAnsi="Times New Roman" w:cs="Times New Roman"/>
          <w:sz w:val="28"/>
          <w:szCs w:val="28"/>
        </w:rPr>
        <w:t>Наджафовой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Махире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Акбер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договорной неустойки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Наджафовой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Махир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Акбер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4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автоном</w:t>
      </w:r>
      <w:r>
        <w:rPr>
          <w:rFonts w:ascii="Times New Roman" w:eastAsia="Times New Roman" w:hAnsi="Times New Roman" w:cs="Times New Roman"/>
          <w:sz w:val="28"/>
          <w:szCs w:val="28"/>
        </w:rPr>
        <w:t>.окр</w:t>
      </w:r>
      <w:r>
        <w:rPr>
          <w:rFonts w:ascii="Times New Roman" w:eastAsia="Times New Roman" w:hAnsi="Times New Roman" w:cs="Times New Roman"/>
          <w:sz w:val="28"/>
          <w:szCs w:val="28"/>
        </w:rPr>
        <w:t>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гор. Нефтеюганске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муниципального имущества администрации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</w:t>
      </w:r>
      <w:r>
        <w:rPr>
          <w:rFonts w:ascii="Times New Roman" w:eastAsia="Times New Roman" w:hAnsi="Times New Roman" w:cs="Times New Roman"/>
          <w:sz w:val="28"/>
          <w:szCs w:val="28"/>
        </w:rPr>
        <w:t>4029014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Наджафовой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Махир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Акбер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бюджета города Нефтеюганска государственную пошлину в размере 4000 рублей.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 Агзямова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0">
    <w:name w:val="cat-PassportData grp-14 rplc-10"/>
    <w:basedOn w:val="DefaultParagraphFont"/>
  </w:style>
  <w:style w:type="character" w:customStyle="1" w:styleId="cat-UserDefinedgrp-18rplc-21">
    <w:name w:val="cat-UserDefined grp-18 rplc-21"/>
    <w:basedOn w:val="DefaultParagraphFont"/>
  </w:style>
  <w:style w:type="character" w:customStyle="1" w:styleId="cat-UserDefinedgrp-19rplc-24">
    <w:name w:val="cat-UserDefined grp-19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